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bij onstlag</w:t>
      </w:r>
    </w:p>
    <w:p>
      <w:pPr>
        <w:spacing w:after="300"/>
      </w:pPr>
      <w:r>
        <w:t xml:space="preserve">Created: 8/6/2010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Blijf kalm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Blijf rustig tijdens een "ontslaggesprek", ook al dreigen de emoties vaak hoog op te lopen.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de werkgever zoveel mogelijk het woord voeren en hoor de argumenten aan, zonodig met de opmerking dat u het met deze punten niet eens bent.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Loop ook niet zomaar weg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Als de druk werkelijk te hoog wordt, is het raadzaam om u ziek te melden.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niet akkoord.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u niet onder druk zetten om akkoord te gaan met een voorstel van uw werkgever ook al lijkt dit op het eerste gezicht misschien helemaal niet slecht.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belangrijk om eerst alle consequenties van een dergelijk voorstel te overzien alvorens er inhoudelijk op te reageren.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Protesteer.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Teken protest aan tegen een ontslagaanzegging, mondeling en schriftelijk.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uw werkgever daarbij kritiek heeft op uw functioneren is het van belang om deze kritiek schriftelijk en puntsgewijs te weerleggen.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geen onnodige informatie.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u tegenover uw werkgever niet uit over uw kansen op de arbeidsmarkt in de nabije toekomst.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door u verstrekte (persoonlijke) informatie kan door uw werkgever gebruikt worden om de nadelige gevolgen van het ontslag op u af te wentelen.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alles op papier zetten.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Sommige werkgevers hebben de neiging voorstellen "uit de losse pols" in een gesprek mee te delen.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Dring er bij uw werkgever op aan een dergelijk voorstel op papier te zetten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Dit is een normale gang van zaken.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Vergeet niet dat u uw baan dreigt te verliezen.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 heeft er dan ook recht op precies te weten wat uw werkgever nu eigenlijk voorstelt.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Spullen inleveren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Lever niet gelijk alle bedrijfseigendommen in (bijv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gsm, laptop, lease-auto).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gebruikelijk dat pas bij de beeindiging van uw arbeidsovereenkomst de bedrijfseigendommen worden ingeleverd.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Inlevering op een eerder moment kan door de rechter uitgelegd worden als instemming van uw zijde met het ontslag.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Ontslagvergoeding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Ontslagvergoeding als bedrag ineens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Streef bij voorkeur naar een afvloeiingsregeling waarbij aan u een bedrag ineens ter beschikking wordt gesteld.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Suppletieregelingen (periodieke uitkeringen) vormen vaak een blijvende bron van ergernis.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Bovendien blijft u afhankelijk van uw werkgever zelfs nadat uw arbeidscontract beeindigd is.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Wees bedacht op alle gevolgen alvorens in te stemmen.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ervoor dat u alle risico's en gevolgen van het ontslag kent voordat u eventueel met een ontslag instemt.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Dit geldt niet alleen voor uw recht op een uitkering, maar ook voor de financiele en fiscale gevolgen van het ontslag.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geen adviseur van uw werkgever.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Vergeet niet dat werkgever en werknemer bij ontslag volstrekt tegengestelde belangen hebben en dat een adviseur slechts een belang dient: dat van zijn opdrachtgever.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bij onstlag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2025-06-15T22:42:15.121Z</dcterms:created>
  <dcterms:modified xsi:type="dcterms:W3CDTF">2025-06-15T22:42:15.121Z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